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E5" w:rsidRDefault="00EF27E5">
      <w:pPr>
        <w:keepNext/>
        <w:widowControl w:val="0"/>
        <w:spacing w:before="120"/>
        <w:jc w:val="both"/>
        <w:rPr>
          <w:rFonts w:ascii="Times New Roman" w:hAnsi="Times New Roman"/>
          <w:b/>
          <w:bCs/>
          <w:sz w:val="24"/>
          <w:szCs w:val="24"/>
        </w:rPr>
      </w:pPr>
    </w:p>
    <w:p w:rsidR="00EF27E5" w:rsidRDefault="00EF27E5">
      <w:pPr>
        <w:keepNext/>
        <w:widowControl w:val="0"/>
        <w:spacing w:before="120"/>
        <w:jc w:val="both"/>
        <w:rPr>
          <w:rFonts w:ascii="Times New Roman" w:hAnsi="Times New Roman"/>
          <w:sz w:val="24"/>
          <w:szCs w:val="24"/>
        </w:rPr>
      </w:pPr>
      <w:r>
        <w:rPr>
          <w:rFonts w:ascii="Times New Roman" w:hAnsi="Times New Roman"/>
          <w:b/>
          <w:bCs/>
          <w:sz w:val="24"/>
          <w:szCs w:val="24"/>
        </w:rPr>
        <w:t xml:space="preserve">НАЗИВ ВИСОКОШКОЛСКЕ УСТАНОВЕ </w:t>
      </w:r>
      <w:r>
        <w:rPr>
          <w:rFonts w:ascii="Times New Roman" w:hAnsi="Times New Roman"/>
          <w:sz w:val="24"/>
          <w:szCs w:val="24"/>
        </w:rPr>
        <w:t>(на српском)</w:t>
      </w:r>
    </w:p>
    <w:p w:rsidR="00EF27E5" w:rsidRDefault="00EF27E5">
      <w:pPr>
        <w:keepNext/>
        <w:widowControl w:val="0"/>
        <w:spacing w:before="120"/>
        <w:jc w:val="both"/>
        <w:rPr>
          <w:rFonts w:ascii="Times New Roman" w:hAnsi="Times New Roman"/>
          <w:sz w:val="24"/>
          <w:szCs w:val="24"/>
        </w:rPr>
      </w:pPr>
      <w:r>
        <w:rPr>
          <w:rFonts w:ascii="Times New Roman" w:hAnsi="Times New Roman"/>
          <w:b/>
          <w:bCs/>
          <w:sz w:val="24"/>
          <w:szCs w:val="24"/>
        </w:rPr>
        <w:t xml:space="preserve">НАЗИВ ВИСОКОШКОЛСКЕ УСТАНОВЕ </w:t>
      </w:r>
      <w:r>
        <w:rPr>
          <w:rFonts w:ascii="Times New Roman" w:hAnsi="Times New Roman"/>
          <w:sz w:val="24"/>
          <w:szCs w:val="24"/>
        </w:rPr>
        <w:t>(на енглеском)</w:t>
      </w:r>
    </w:p>
    <w:p w:rsidR="00EF27E5" w:rsidRDefault="00EF27E5">
      <w:pPr>
        <w:keepNext/>
        <w:widowControl w:val="0"/>
        <w:spacing w:before="120"/>
        <w:jc w:val="both"/>
        <w:rPr>
          <w:rFonts w:ascii="Times New Roman" w:hAnsi="Times New Roman"/>
          <w:sz w:val="24"/>
          <w:szCs w:val="24"/>
        </w:rPr>
      </w:pPr>
      <w:r>
        <w:rPr>
          <w:rFonts w:ascii="Times New Roman" w:hAnsi="Times New Roman"/>
          <w:sz w:val="24"/>
          <w:szCs w:val="24"/>
        </w:rPr>
        <w:t>Адреса: ……………………………………</w:t>
      </w:r>
    </w:p>
    <w:p w:rsidR="00EF27E5" w:rsidRDefault="00EF27E5">
      <w:pPr>
        <w:keepNext/>
        <w:widowControl w:val="0"/>
        <w:jc w:val="both"/>
        <w:rPr>
          <w:rFonts w:ascii="Times New Roman" w:hAnsi="Times New Roman"/>
          <w:sz w:val="24"/>
          <w:szCs w:val="24"/>
        </w:rPr>
      </w:pPr>
      <w:r>
        <w:rPr>
          <w:rFonts w:ascii="Times New Roman" w:hAnsi="Times New Roman"/>
          <w:sz w:val="24"/>
          <w:szCs w:val="24"/>
        </w:rPr>
        <w:t xml:space="preserve">Телефон: ……………………. </w:t>
      </w:r>
    </w:p>
    <w:p w:rsidR="00EF27E5" w:rsidRDefault="00EF27E5">
      <w:pPr>
        <w:keepNext/>
        <w:widowControl w:val="0"/>
        <w:jc w:val="both"/>
        <w:rPr>
          <w:rFonts w:ascii="Times New Roman" w:hAnsi="Times New Roman"/>
          <w:sz w:val="24"/>
          <w:szCs w:val="24"/>
        </w:rPr>
      </w:pPr>
      <w:r>
        <w:rPr>
          <w:rFonts w:ascii="Times New Roman" w:hAnsi="Times New Roman"/>
          <w:sz w:val="24"/>
          <w:szCs w:val="24"/>
        </w:rPr>
        <w:t xml:space="preserve">e-mail: ……………………….. </w:t>
      </w:r>
    </w:p>
    <w:p w:rsidR="00EF27E5" w:rsidRDefault="00EF27E5">
      <w:pPr>
        <w:keepNext/>
        <w:widowControl w:val="0"/>
        <w:jc w:val="both"/>
        <w:rPr>
          <w:rFonts w:ascii="Times New Roman" w:hAnsi="Times New Roman"/>
          <w:sz w:val="24"/>
          <w:szCs w:val="24"/>
        </w:rPr>
      </w:pPr>
      <w:r>
        <w:rPr>
          <w:rFonts w:ascii="Times New Roman" w:hAnsi="Times New Roman"/>
          <w:sz w:val="24"/>
          <w:szCs w:val="24"/>
        </w:rPr>
        <w:t>ПИБ: …………………… </w:t>
      </w:r>
    </w:p>
    <w:p w:rsidR="00EF27E5" w:rsidRDefault="00EF27E5">
      <w:pPr>
        <w:keepNext/>
        <w:widowControl w:val="0"/>
        <w:spacing w:before="120"/>
        <w:jc w:val="both"/>
        <w:rPr>
          <w:rFonts w:ascii="Times New Roman" w:hAnsi="Times New Roman"/>
          <w:sz w:val="24"/>
          <w:szCs w:val="24"/>
        </w:rPr>
      </w:pPr>
      <w:r>
        <w:rPr>
          <w:rFonts w:ascii="Times New Roman" w:hAnsi="Times New Roman"/>
          <w:sz w:val="24"/>
          <w:szCs w:val="24"/>
        </w:rPr>
        <w:t>Матични број: …………………</w:t>
      </w:r>
    </w:p>
    <w:p w:rsidR="00EF27E5" w:rsidRDefault="00EF27E5">
      <w:pPr>
        <w:keepNext/>
        <w:widowControl w:val="0"/>
        <w:spacing w:before="120"/>
        <w:jc w:val="both"/>
        <w:rPr>
          <w:rFonts w:ascii="Times New Roman" w:hAnsi="Times New Roman"/>
          <w:sz w:val="24"/>
          <w:szCs w:val="24"/>
        </w:rPr>
      </w:pPr>
      <w:r>
        <w:rPr>
          <w:rFonts w:ascii="Times New Roman" w:hAnsi="Times New Roman"/>
          <w:sz w:val="24"/>
          <w:szCs w:val="24"/>
        </w:rPr>
        <w:t>Шифра делатности: ………………… </w:t>
      </w: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jc w:val="center"/>
        <w:rPr>
          <w:rFonts w:ascii="Times New Roman" w:hAnsi="Times New Roman"/>
          <w:b/>
          <w:sz w:val="24"/>
          <w:szCs w:val="24"/>
        </w:rPr>
      </w:pPr>
      <w:r>
        <w:rPr>
          <w:rFonts w:ascii="Times New Roman" w:hAnsi="Times New Roman"/>
          <w:b/>
          <w:sz w:val="24"/>
          <w:szCs w:val="24"/>
        </w:rPr>
        <w:t>ЕЛАБОРАТ О СТУДИЈСКОМ ПРОГРАМУ  СТРУКОВНИХ СТУДИЈА КОЈИ СЕ РЕАЛИЗУЈЕ  ПО ДУАЛНОМ МОДЕЛУ СТУДИЈА У ВИСОКОМ ОБРАЗОВАЊУ</w:t>
      </w:r>
    </w:p>
    <w:p w:rsidR="00EF27E5" w:rsidRDefault="00EF27E5">
      <w:pPr>
        <w:jc w:val="center"/>
        <w:rPr>
          <w:rFonts w:ascii="Times New Roman" w:hAnsi="Times New Roman"/>
          <w:sz w:val="24"/>
          <w:szCs w:val="24"/>
        </w:rPr>
      </w:pPr>
      <w:r>
        <w:rPr>
          <w:rFonts w:ascii="Times New Roman" w:hAnsi="Times New Roman"/>
          <w:sz w:val="24"/>
          <w:szCs w:val="24"/>
        </w:rPr>
        <w:t>У складу са  чланом 4 Закона о дуалном моделу студија у високом образовању ("Сл. гласник РС", бр. 6/2019 од 18.09.2019.године, а ступио је на снагу 26.09.2019. године)</w:t>
      </w:r>
    </w:p>
    <w:p w:rsidR="00EF27E5" w:rsidRDefault="00EF27E5">
      <w:pPr>
        <w:jc w:val="center"/>
        <w:rPr>
          <w:rFonts w:ascii="Times New Roman" w:hAnsi="Times New Roman"/>
          <w:b/>
          <w:bCs/>
          <w:sz w:val="24"/>
          <w:szCs w:val="24"/>
        </w:rPr>
      </w:pPr>
    </w:p>
    <w:p w:rsidR="00EF27E5" w:rsidRDefault="00EF27E5">
      <w:pPr>
        <w:jc w:val="center"/>
        <w:rPr>
          <w:rFonts w:ascii="Times New Roman" w:hAnsi="Times New Roman"/>
          <w:sz w:val="24"/>
          <w:szCs w:val="24"/>
        </w:rPr>
      </w:pPr>
      <w:r>
        <w:rPr>
          <w:rFonts w:ascii="Times New Roman" w:hAnsi="Times New Roman"/>
          <w:b/>
          <w:bCs/>
          <w:sz w:val="24"/>
          <w:szCs w:val="24"/>
        </w:rPr>
        <w:t>Назив студијског програма струковних студија по дуалном моделу</w:t>
      </w:r>
      <w:r>
        <w:rPr>
          <w:rFonts w:ascii="Times New Roman" w:hAnsi="Times New Roman"/>
          <w:sz w:val="24"/>
          <w:szCs w:val="24"/>
        </w:rPr>
        <w:t xml:space="preserve"> - српски</w:t>
      </w:r>
    </w:p>
    <w:p w:rsidR="00EF27E5" w:rsidRDefault="00EF27E5">
      <w:pPr>
        <w:jc w:val="center"/>
        <w:rPr>
          <w:rFonts w:ascii="Times New Roman" w:hAnsi="Times New Roman"/>
          <w:sz w:val="24"/>
          <w:szCs w:val="24"/>
        </w:rPr>
      </w:pPr>
      <w:r>
        <w:rPr>
          <w:rFonts w:ascii="Times New Roman" w:hAnsi="Times New Roman"/>
          <w:b/>
          <w:bCs/>
          <w:sz w:val="24"/>
          <w:szCs w:val="24"/>
        </w:rPr>
        <w:t>Назив студијског програма струковних студија по дуалном моделу</w:t>
      </w:r>
      <w:r>
        <w:rPr>
          <w:rFonts w:ascii="Times New Roman" w:hAnsi="Times New Roman"/>
          <w:sz w:val="24"/>
          <w:szCs w:val="24"/>
        </w:rPr>
        <w:t xml:space="preserve">  - енглески</w:t>
      </w:r>
    </w:p>
    <w:p w:rsidR="00EF27E5" w:rsidRDefault="00EF27E5">
      <w:pPr>
        <w:keepNext/>
        <w:widowControl w:val="0"/>
        <w:tabs>
          <w:tab w:val="left" w:pos="3720"/>
        </w:tabs>
        <w:jc w:val="both"/>
        <w:rPr>
          <w:rFonts w:ascii="Times New Roman" w:hAnsi="Times New Roman"/>
          <w:sz w:val="24"/>
          <w:szCs w:val="24"/>
        </w:rPr>
      </w:pPr>
      <w:r>
        <w:rPr>
          <w:rFonts w:ascii="Times New Roman" w:hAnsi="Times New Roman"/>
          <w:sz w:val="24"/>
          <w:szCs w:val="24"/>
        </w:rPr>
        <w:tab/>
      </w:r>
    </w:p>
    <w:p w:rsidR="00EF27E5" w:rsidRDefault="00EF27E5">
      <w:pPr>
        <w:keepNext/>
        <w:widowControl w:val="0"/>
        <w:tabs>
          <w:tab w:val="left" w:pos="3720"/>
        </w:tabs>
        <w:jc w:val="both"/>
        <w:rPr>
          <w:rFonts w:ascii="Times New Roman" w:hAnsi="Times New Roman"/>
          <w:sz w:val="24"/>
          <w:szCs w:val="24"/>
        </w:rPr>
      </w:pPr>
    </w:p>
    <w:p w:rsidR="00EF27E5" w:rsidRDefault="00EF27E5">
      <w:pPr>
        <w:keepNext/>
        <w:widowControl w:val="0"/>
        <w:tabs>
          <w:tab w:val="left" w:pos="3720"/>
        </w:tabs>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both"/>
        <w:rPr>
          <w:rFonts w:ascii="Times New Roman" w:hAnsi="Times New Roman"/>
          <w:sz w:val="24"/>
          <w:szCs w:val="24"/>
        </w:rPr>
      </w:pPr>
    </w:p>
    <w:p w:rsidR="00EF27E5" w:rsidRDefault="00EF27E5">
      <w:pPr>
        <w:keepNext/>
        <w:widowControl w:val="0"/>
        <w:jc w:val="center"/>
        <w:rPr>
          <w:rFonts w:ascii="Times New Roman" w:hAnsi="Times New Roman"/>
          <w:sz w:val="24"/>
          <w:szCs w:val="24"/>
        </w:rPr>
      </w:pPr>
      <w:r>
        <w:rPr>
          <w:rFonts w:ascii="Times New Roman" w:hAnsi="Times New Roman"/>
          <w:sz w:val="24"/>
          <w:szCs w:val="24"/>
        </w:rPr>
        <w:t>.........................20.....</w:t>
      </w:r>
      <w:bookmarkStart w:id="0" w:name="_Toc13813845"/>
      <w:bookmarkStart w:id="1" w:name="_Toc13813327"/>
      <w:bookmarkStart w:id="2" w:name="_Toc9770551"/>
      <w:bookmarkStart w:id="3" w:name="_Toc9770398"/>
      <w:bookmarkStart w:id="4" w:name="_Toc9759449"/>
      <w:bookmarkStart w:id="5" w:name="_Toc9714070"/>
      <w:bookmarkStart w:id="6" w:name="_Toc9711190"/>
      <w:bookmarkStart w:id="7" w:name="_Toc9711092"/>
      <w:bookmarkStart w:id="8" w:name="_Toc9710826"/>
      <w:bookmarkStart w:id="9" w:name="_Toc9698513"/>
      <w:bookmarkStart w:id="10" w:name="_Toc9605199"/>
    </w:p>
    <w:p w:rsidR="00EF27E5" w:rsidRDefault="00EF27E5">
      <w:pPr>
        <w:jc w:val="both"/>
        <w:rPr>
          <w:rFonts w:ascii="Times New Roman" w:hAnsi="Times New Roman"/>
          <w:sz w:val="24"/>
          <w:szCs w:val="24"/>
        </w:rPr>
      </w:pPr>
      <w:bookmarkStart w:id="11" w:name="_Toc59554894"/>
      <w:bookmarkEnd w:id="0"/>
      <w:bookmarkEnd w:id="1"/>
      <w:bookmarkEnd w:id="2"/>
      <w:bookmarkEnd w:id="3"/>
      <w:bookmarkEnd w:id="4"/>
      <w:bookmarkEnd w:id="5"/>
      <w:bookmarkEnd w:id="6"/>
      <w:bookmarkEnd w:id="7"/>
      <w:bookmarkEnd w:id="8"/>
      <w:bookmarkEnd w:id="9"/>
      <w:bookmarkEnd w:id="10"/>
      <w:r>
        <w:br w:type="page"/>
      </w:r>
    </w:p>
    <w:p w:rsidR="00EF27E5" w:rsidRDefault="00EF27E5">
      <w:pPr>
        <w:jc w:val="center"/>
        <w:rPr>
          <w:rFonts w:ascii="Times New Roman" w:hAnsi="Times New Roman"/>
          <w:b/>
          <w:sz w:val="24"/>
          <w:szCs w:val="24"/>
        </w:rPr>
      </w:pPr>
      <w:r>
        <w:rPr>
          <w:rFonts w:ascii="Times New Roman" w:hAnsi="Times New Roman"/>
          <w:b/>
          <w:sz w:val="24"/>
          <w:szCs w:val="24"/>
        </w:rPr>
        <w:t>ФОРМА И САДРЖАЈ ЕЛАБОРАТА</w:t>
      </w:r>
    </w:p>
    <w:p w:rsidR="00EF27E5" w:rsidRDefault="00EF27E5">
      <w:pPr>
        <w:jc w:val="both"/>
        <w:rPr>
          <w:rFonts w:ascii="Times New Roman" w:hAnsi="Times New Roman"/>
          <w:sz w:val="24"/>
          <w:szCs w:val="24"/>
        </w:rPr>
      </w:pPr>
    </w:p>
    <w:p w:rsidR="00EF27E5" w:rsidRDefault="00EF27E5">
      <w:pPr>
        <w:jc w:val="both"/>
        <w:rPr>
          <w:rFonts w:ascii="Times New Roman" w:hAnsi="Times New Roman"/>
          <w:sz w:val="24"/>
          <w:szCs w:val="24"/>
        </w:rPr>
      </w:pPr>
      <w:r>
        <w:rPr>
          <w:rFonts w:ascii="Times New Roman" w:hAnsi="Times New Roman"/>
          <w:sz w:val="24"/>
          <w:szCs w:val="24"/>
        </w:rPr>
        <w:t>Елаборат треба да обезбеди следеће информације:</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Назив и седиште високошколске установе</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Назив студијског програма струковних студија који се изводи по дуалном моделу студија</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Послодавци који учествују у извођењу студијског програма струковних студија по дуалном моделу студија</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Услови за извођење учења кроз рад код послодаваца који учествују у извођењу студијског програма струковних студија:</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Обављање делатности која омогућава реализацију садржаја из студијског програма;</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Одговарајући број ментора код послодавца који имају најмање врсту и ниво високог образовања који одговара врсти и нивоу који студент стиче према студијском програму и три године радног искуства у струци;</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Располагање одговарајућим простором, опремом и средствима за рад у складу са студијским програмом и планом реализације учења кроз рад;</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Обезбеђивање примене мера безбедности и здравља на раду у складу са законом;</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Да над послодавцем није отворен стечајни поступак или да није покренут поступак ликвидације;</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Да ментор и друго одговорно лице код послодавца нису осуђивани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родоскрвнуће, кривична дела из групе кривичних дела против полне слободе, против привреде, против службене дужности, против правног саобраћаја и против човечности и других добара заштићених међународним правом, без обзира на изречену кривичну санкцију, да нису правноснажно осуђивани за прекршај из области радних односа, и за које није, у складу са законом, утврђено дискриминаторно понашање;</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Да ментор код послодавца и одговорно лице код послодавца није правноснажно осуђивано за казнена дела прописана законом којим се уређује спречавање злостављања на раду.</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Подаци о студијском програму струковних студија:</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cs="Times New Roman"/>
          <w:sz w:val="24"/>
          <w:szCs w:val="24"/>
        </w:rPr>
        <w:t>Студијски програм струковних студија се акредитује у складу са стандардима за акредитацију студијских програма;</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 xml:space="preserve">Да ли је реализација студијског програма (активна настава) обједињена са студентима по класичном моделу наставе, или се држи посебна настава само за студенте студијског програма по дуалном моделу. Високошколска установа може да предвиди више различитих могућности које нуди послодавцима и студентима. </w:t>
      </w:r>
    </w:p>
    <w:p w:rsidR="00EF27E5" w:rsidRDefault="00EF27E5">
      <w:pPr>
        <w:pStyle w:val="ListParagraph"/>
        <w:spacing w:before="0" w:after="0"/>
        <w:ind w:left="0"/>
        <w:rPr>
          <w:rFonts w:ascii="Times New Roman" w:hAnsi="Times New Roman" w:cs="Times New Roman"/>
          <w:sz w:val="24"/>
          <w:szCs w:val="24"/>
        </w:rPr>
      </w:pPr>
    </w:p>
    <w:tbl>
      <w:tblPr>
        <w:tblW w:w="7731" w:type="dxa"/>
        <w:jc w:val="center"/>
        <w:tblLayout w:type="fixed"/>
        <w:tblLook w:val="00A0"/>
      </w:tblPr>
      <w:tblGrid>
        <w:gridCol w:w="6430"/>
        <w:gridCol w:w="1301"/>
      </w:tblGrid>
      <w:tr w:rsidR="00EF27E5">
        <w:trPr>
          <w:jc w:val="center"/>
        </w:trPr>
        <w:tc>
          <w:tcPr>
            <w:tcW w:w="6429" w:type="dxa"/>
            <w:tcBorders>
              <w:top w:val="single" w:sz="4" w:space="0" w:color="000000"/>
              <w:left w:val="single" w:sz="4" w:space="0" w:color="000000"/>
              <w:bottom w:val="single" w:sz="4" w:space="0" w:color="000000"/>
              <w:right w:val="single" w:sz="4" w:space="0" w:color="000000"/>
            </w:tcBorders>
          </w:tcPr>
          <w:p w:rsidR="00EF27E5" w:rsidRDefault="00EF27E5">
            <w:pPr>
              <w:widowControl w:val="0"/>
            </w:pPr>
            <w:r>
              <w:t>Обим учења кроз рад исказан у часовима и ЕСПБ на СП</w:t>
            </w:r>
          </w:p>
          <w:p w:rsidR="00EF27E5" w:rsidRDefault="00EF27E5">
            <w:pPr>
              <w:widowControl w:val="0"/>
            </w:pPr>
            <w:r>
              <w:t>(на свим годинама студија)</w:t>
            </w:r>
          </w:p>
        </w:tc>
        <w:tc>
          <w:tcPr>
            <w:tcW w:w="1301" w:type="dxa"/>
            <w:tcBorders>
              <w:top w:val="single" w:sz="4" w:space="0" w:color="000000"/>
              <w:left w:val="single" w:sz="4" w:space="0" w:color="000000"/>
              <w:bottom w:val="single" w:sz="4" w:space="0" w:color="000000"/>
              <w:right w:val="single" w:sz="4" w:space="0" w:color="000000"/>
            </w:tcBorders>
          </w:tcPr>
          <w:p w:rsidR="00EF27E5" w:rsidRDefault="00EF27E5">
            <w:pPr>
              <w:widowControl w:val="0"/>
            </w:pPr>
          </w:p>
        </w:tc>
      </w:tr>
      <w:tr w:rsidR="00EF27E5">
        <w:trPr>
          <w:jc w:val="center"/>
        </w:trPr>
        <w:tc>
          <w:tcPr>
            <w:tcW w:w="6429" w:type="dxa"/>
            <w:tcBorders>
              <w:top w:val="single" w:sz="4" w:space="0" w:color="000000"/>
              <w:left w:val="single" w:sz="4" w:space="0" w:color="000000"/>
              <w:bottom w:val="single" w:sz="4" w:space="0" w:color="000000"/>
              <w:right w:val="single" w:sz="4" w:space="0" w:color="000000"/>
            </w:tcBorders>
          </w:tcPr>
          <w:p w:rsidR="00EF27E5" w:rsidRDefault="00EF27E5">
            <w:pPr>
              <w:widowControl w:val="0"/>
            </w:pPr>
            <w:r>
              <w:t>Обим теоријске наставе исказан у часовима и ЕСПБ на СП</w:t>
            </w:r>
          </w:p>
          <w:p w:rsidR="00EF27E5" w:rsidRDefault="00EF27E5">
            <w:pPr>
              <w:widowControl w:val="0"/>
            </w:pPr>
            <w:r>
              <w:t>(на свим годинама студија)</w:t>
            </w:r>
          </w:p>
        </w:tc>
        <w:tc>
          <w:tcPr>
            <w:tcW w:w="1301" w:type="dxa"/>
            <w:tcBorders>
              <w:top w:val="single" w:sz="4" w:space="0" w:color="000000"/>
              <w:left w:val="single" w:sz="4" w:space="0" w:color="000000"/>
              <w:bottom w:val="single" w:sz="4" w:space="0" w:color="000000"/>
              <w:right w:val="single" w:sz="4" w:space="0" w:color="000000"/>
            </w:tcBorders>
          </w:tcPr>
          <w:p w:rsidR="00EF27E5" w:rsidRDefault="00EF27E5">
            <w:pPr>
              <w:widowControl w:val="0"/>
            </w:pPr>
          </w:p>
        </w:tc>
      </w:tr>
      <w:tr w:rsidR="00EF27E5">
        <w:trPr>
          <w:jc w:val="center"/>
        </w:trPr>
        <w:tc>
          <w:tcPr>
            <w:tcW w:w="6429" w:type="dxa"/>
            <w:tcBorders>
              <w:top w:val="single" w:sz="4" w:space="0" w:color="000000"/>
              <w:left w:val="single" w:sz="4" w:space="0" w:color="000000"/>
              <w:bottom w:val="single" w:sz="4" w:space="0" w:color="000000"/>
              <w:right w:val="single" w:sz="4" w:space="0" w:color="000000"/>
            </w:tcBorders>
          </w:tcPr>
          <w:p w:rsidR="00EF27E5" w:rsidRDefault="00EF27E5">
            <w:pPr>
              <w:widowControl w:val="0"/>
            </w:pPr>
            <w:r>
              <w:t>Укупно часова и ЕСПБ (на свим годинама студија) на СП</w:t>
            </w:r>
          </w:p>
        </w:tc>
        <w:tc>
          <w:tcPr>
            <w:tcW w:w="1301" w:type="dxa"/>
            <w:tcBorders>
              <w:top w:val="single" w:sz="4" w:space="0" w:color="000000"/>
              <w:left w:val="single" w:sz="4" w:space="0" w:color="000000"/>
              <w:bottom w:val="single" w:sz="4" w:space="0" w:color="000000"/>
              <w:right w:val="single" w:sz="4" w:space="0" w:color="000000"/>
            </w:tcBorders>
          </w:tcPr>
          <w:p w:rsidR="00EF27E5" w:rsidRDefault="00EF27E5">
            <w:pPr>
              <w:widowControl w:val="0"/>
            </w:pPr>
          </w:p>
        </w:tc>
      </w:tr>
    </w:tbl>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Обавезе високошколске установе у вези са реализацијом учења кроз рад</w:t>
      </w:r>
    </w:p>
    <w:p w:rsidR="00EF27E5" w:rsidRDefault="00EF27E5">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Подаци о послодавцима који испуњавају услове за извођење учења кроз рад (члан 11 Закона) у конкретном студијском програму  укључују  следеће информације:</w:t>
      </w:r>
    </w:p>
    <w:p w:rsidR="00EF27E5" w:rsidRDefault="00EF27E5">
      <w:pPr>
        <w:pStyle w:val="ListParagraph"/>
        <w:spacing w:after="0"/>
        <w:ind w:left="0" w:firstLine="720"/>
        <w:rPr>
          <w:rFonts w:ascii="Times New Roman" w:hAnsi="Times New Roman" w:cs="Times New Roman"/>
          <w:sz w:val="24"/>
          <w:szCs w:val="24"/>
        </w:rPr>
      </w:pP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Списак делатности послодаваца који могу да учествују у реализацији садржаја из студијског програма;</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Спецификација општих обавеза послодавца које треба да испуни ради реализације учења кроз рад на студијском програму (на пример, усаглашавање радних задатака са програмом и годином студија студента,  повремени састанци ментора послодавца и академског ментора, семестрално извештавање високошколске установе о раду студента и др.), а специфичне обавезе се дефинишу уговором са послодавцем.</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 xml:space="preserve">Компетентност ментора код послодавца која се тиче образовања (240 ЕСПБ и др.) и радног искуства (најмање 3 године). Високошколска установа треба да наведе начин провере компетенција ментора код послодавца (на пример, радна биографија са стручном остварењима, разговор са ментором). Ради припреме обуке ментора високошколска установа може припремити упутство за ментора код послодавца; </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Списак неопходне опреме које послодавац поседује, као и простор и опрему  за рад студената;</w:t>
      </w:r>
    </w:p>
    <w:p w:rsidR="00EF27E5" w:rsidRDefault="00EF27E5">
      <w:pPr>
        <w:pStyle w:val="ListParagraph"/>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Специфичне мере безбедности и здравља на раду потребне за рад студената.</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Уговори о дуалном образовању закључени са послодавцима који су укључени у извођење студијског програма струковних студија</w:t>
      </w:r>
      <w:bookmarkStart w:id="12" w:name="_GoBack"/>
      <w:bookmarkEnd w:id="12"/>
    </w:p>
    <w:p w:rsidR="00EF27E5" w:rsidRDefault="00EF27E5">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Обавезни елементи уговора о дуалном образовању су:</w:t>
      </w:r>
    </w:p>
    <w:p w:rsidR="00EF27E5" w:rsidRDefault="00EF27E5">
      <w:pPr>
        <w:pStyle w:val="ListParagraph"/>
        <w:spacing w:after="0"/>
        <w:ind w:left="0" w:firstLine="720"/>
        <w:rPr>
          <w:rFonts w:ascii="Times New Roman" w:hAnsi="Times New Roman" w:cs="Times New Roman"/>
          <w:sz w:val="24"/>
          <w:szCs w:val="24"/>
        </w:rPr>
      </w:pP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назив, седиште и матични број послодавца;</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назив и седиште високошколске установе;</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назив студијског програма који је предмет уговора;</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подаци о студијском програму;</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обавеза послодавца да изводи учење кроз рад о сопственом трошку;</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обавезе високошколске установе у вези са реализацијом учења кроз рад;</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обавезе послодавца у вези са реализацијом учења кроз рад;</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план и програм реализације учења кроз рад;</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место и временски распоред реализације учења кроз рад;</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максималан број студената које високошколска установа може упутити на учење кроз рад;</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период трајања уговора;</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заштита интелектуалне својине;</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заштита података о личности;</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разлози за престанак важења и за раскид уговора;</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начин решавања евентуалних спорова;</w:t>
      </w:r>
    </w:p>
    <w:p w:rsidR="00EF27E5" w:rsidRDefault="00EF27E5">
      <w:pPr>
        <w:numPr>
          <w:ilvl w:val="0"/>
          <w:numId w:val="2"/>
        </w:numPr>
        <w:spacing w:before="0" w:after="0"/>
        <w:ind w:left="714" w:hanging="357"/>
        <w:rPr>
          <w:rFonts w:ascii="Times New Roman" w:hAnsi="Times New Roman"/>
          <w:sz w:val="24"/>
        </w:rPr>
      </w:pPr>
      <w:r>
        <w:rPr>
          <w:rFonts w:ascii="Times New Roman" w:hAnsi="Times New Roman"/>
          <w:sz w:val="24"/>
        </w:rPr>
        <w:t>датум и потписи уговорних страна.</w:t>
      </w:r>
    </w:p>
    <w:p w:rsidR="00EF27E5" w:rsidRDefault="00EF27E5" w:rsidP="00584A29">
      <w:pPr>
        <w:spacing w:after="0"/>
        <w:ind w:firstLine="720"/>
        <w:jc w:val="both"/>
        <w:rPr>
          <w:rFonts w:ascii="Times New Roman" w:hAnsi="Times New Roman"/>
          <w:sz w:val="24"/>
          <w:szCs w:val="24"/>
        </w:rPr>
      </w:pPr>
      <w:r>
        <w:rPr>
          <w:rFonts w:ascii="Times New Roman" w:hAnsi="Times New Roman"/>
          <w:sz w:val="24"/>
          <w:szCs w:val="24"/>
        </w:rPr>
        <w:t>Установа доставља копије уговора које је закључила са послодавцима који су укључени у извођење конкретног СП.</w:t>
      </w:r>
    </w:p>
    <w:p w:rsidR="00EF27E5" w:rsidRDefault="00EF27E5">
      <w:pPr>
        <w:spacing w:after="0"/>
        <w:ind w:firstLine="720"/>
        <w:jc w:val="both"/>
        <w:rPr>
          <w:rFonts w:ascii="Times New Roman" w:hAnsi="Times New Roman"/>
          <w:sz w:val="24"/>
        </w:rPr>
      </w:pPr>
      <w:r>
        <w:rPr>
          <w:rFonts w:ascii="Times New Roman" w:hAnsi="Times New Roman"/>
          <w:sz w:val="24"/>
          <w:szCs w:val="24"/>
        </w:rPr>
        <w:t>Регистар уговора о дуалном образовању води Привредна комора Србије као поверени посао.</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Уговор о учењу кроз рад</w:t>
      </w:r>
    </w:p>
    <w:p w:rsidR="00EF27E5" w:rsidRDefault="00EF27E5">
      <w:pPr>
        <w:spacing w:before="0" w:after="0"/>
        <w:ind w:firstLine="720"/>
        <w:rPr>
          <w:rFonts w:ascii="Times New Roman" w:hAnsi="Times New Roman"/>
          <w:sz w:val="24"/>
        </w:rPr>
      </w:pPr>
      <w:r>
        <w:rPr>
          <w:rFonts w:ascii="Times New Roman" w:hAnsi="Times New Roman"/>
          <w:sz w:val="24"/>
        </w:rPr>
        <w:t>Уговор о учењу кроз рад закључују послодавац и студент у писаној форми.</w:t>
      </w:r>
    </w:p>
    <w:p w:rsidR="00EF27E5" w:rsidRDefault="00EF27E5">
      <w:pPr>
        <w:spacing w:before="0" w:after="0"/>
        <w:ind w:firstLine="720"/>
        <w:rPr>
          <w:rFonts w:ascii="Times New Roman" w:hAnsi="Times New Roman"/>
          <w:sz w:val="24"/>
        </w:rPr>
      </w:pPr>
      <w:r>
        <w:rPr>
          <w:rFonts w:ascii="Times New Roman" w:hAnsi="Times New Roman"/>
          <w:sz w:val="24"/>
        </w:rPr>
        <w:t>Обавезни елементи уговора о учењу кроз рад су:</w:t>
      </w:r>
    </w:p>
    <w:p w:rsidR="00EF27E5" w:rsidRDefault="00EF27E5">
      <w:pPr>
        <w:spacing w:before="0" w:after="0"/>
        <w:ind w:firstLine="720"/>
        <w:rPr>
          <w:rFonts w:ascii="Times New Roman" w:hAnsi="Times New Roman"/>
          <w:sz w:val="24"/>
        </w:rPr>
      </w:pP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име и презиме студента и његова адреса становања;</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идентификациони подаци послодавца;</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податке о високошколској установи;</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назив студијског програма;</w:t>
      </w:r>
    </w:p>
    <w:p w:rsidR="00EF27E5" w:rsidRDefault="00EF27E5">
      <w:pPr>
        <w:numPr>
          <w:ilvl w:val="0"/>
          <w:numId w:val="3"/>
        </w:numPr>
        <w:spacing w:before="0" w:after="0"/>
        <w:ind w:left="714" w:hanging="357"/>
        <w:jc w:val="both"/>
        <w:rPr>
          <w:rFonts w:ascii="Times New Roman" w:hAnsi="Times New Roman"/>
          <w:sz w:val="24"/>
        </w:rPr>
      </w:pPr>
      <w:r>
        <w:rPr>
          <w:rFonts w:ascii="Times New Roman" w:hAnsi="Times New Roman"/>
          <w:sz w:val="24"/>
        </w:rPr>
        <w:t>обавезу послодавца да организује и реализује студенту учење кроз рад у складу са студијским програмом;</w:t>
      </w:r>
    </w:p>
    <w:p w:rsidR="00EF27E5" w:rsidRDefault="00EF27E5">
      <w:pPr>
        <w:numPr>
          <w:ilvl w:val="0"/>
          <w:numId w:val="3"/>
        </w:numPr>
        <w:spacing w:before="0" w:after="0"/>
        <w:ind w:left="714" w:hanging="357"/>
        <w:jc w:val="both"/>
        <w:rPr>
          <w:rFonts w:ascii="Times New Roman" w:hAnsi="Times New Roman"/>
          <w:sz w:val="24"/>
        </w:rPr>
      </w:pPr>
      <w:r>
        <w:rPr>
          <w:rFonts w:ascii="Times New Roman" w:hAnsi="Times New Roman"/>
          <w:sz w:val="24"/>
        </w:rPr>
        <w:t>уколико се студијски програм остварује на језику националне мањине, обавеза послодавца је да организује и реализује учење кроз рад на језику те националне мањине;</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место и време реализације учења кроз рад;</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обавезу студента да редовно обавља учење кроз рад код послодавца;</w:t>
      </w:r>
    </w:p>
    <w:p w:rsidR="00EF27E5" w:rsidRDefault="00EF27E5">
      <w:pPr>
        <w:numPr>
          <w:ilvl w:val="0"/>
          <w:numId w:val="3"/>
        </w:numPr>
        <w:spacing w:before="0" w:after="0"/>
        <w:ind w:left="714" w:hanging="357"/>
        <w:jc w:val="both"/>
        <w:rPr>
          <w:rFonts w:ascii="Times New Roman" w:hAnsi="Times New Roman"/>
          <w:sz w:val="24"/>
        </w:rPr>
      </w:pPr>
      <w:r>
        <w:rPr>
          <w:rFonts w:ascii="Times New Roman" w:hAnsi="Times New Roman"/>
          <w:sz w:val="24"/>
        </w:rPr>
        <w:t>обавезу студента у вези са временом боравка, учењем, безбедношћу и заштитом здравља током учења кроз рад код послодавца;</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 xml:space="preserve">материјално обезбеђење студената; </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финансијско обезбеђење студената;</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заштита интелектуалне својине;</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заштита података личности;</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чување пословне тајне;</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период трајања уговора;</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разлози за престанак важења и за раскид уговора;</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начин решавања евентуалних спорова;</w:t>
      </w:r>
    </w:p>
    <w:p w:rsidR="00EF27E5" w:rsidRDefault="00EF27E5">
      <w:pPr>
        <w:numPr>
          <w:ilvl w:val="0"/>
          <w:numId w:val="3"/>
        </w:numPr>
        <w:spacing w:before="0" w:after="0"/>
        <w:ind w:left="714" w:hanging="357"/>
        <w:rPr>
          <w:rFonts w:ascii="Times New Roman" w:hAnsi="Times New Roman"/>
          <w:sz w:val="24"/>
        </w:rPr>
      </w:pPr>
      <w:r>
        <w:rPr>
          <w:rFonts w:ascii="Times New Roman" w:hAnsi="Times New Roman"/>
          <w:sz w:val="24"/>
        </w:rPr>
        <w:t>датум и потписи уговорних страна.</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План и програм реализације учења кроз рад</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садржи опис и обим учења кроз рад исказан сатима и ЕСПБ бодовима;</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активна настава мора да буде заступљена са најмање 450 часова годишње, просечно на нивоу целог студијског програма;</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учење уз рад са најмање 450 сати годишње просечно на нивоу целог студијског програма;</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 xml:space="preserve">место и временски распоред реализације учења кроз рад (навести само опште могућности, а детаље дефинисати уговором са послодавцем у складу са специфичностима послодавца). Високошколска установа може да предвиди више различитих могућности које нуди послодавцима и студентима; </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информација да ли се учење уз рад у целости организује код послодавца или делимично у ансамблима (поље уметности) или тренинг центрима чији је оснивач Република Србија (у том случају навести разлоге и испуњење услова);</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Специфични услови за упис студената на студијски програм по дуалном моделу;</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Услови преласка студената са дуалног на друге моделе студија, односно на прелазак на дуални модел студија;</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Начин распоређивања студената студијског програма  код послодаваца.</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 xml:space="preserve">Подршка каријерном развоју студената у дуалном моделу  </w:t>
      </w:r>
    </w:p>
    <w:p w:rsidR="00EF27E5" w:rsidRDefault="00EF27E5">
      <w:pPr>
        <w:spacing w:after="0"/>
        <w:ind w:firstLine="720"/>
        <w:jc w:val="both"/>
        <w:rPr>
          <w:rFonts w:ascii="Times New Roman" w:hAnsi="Times New Roman"/>
          <w:sz w:val="24"/>
          <w:szCs w:val="24"/>
        </w:rPr>
      </w:pPr>
      <w:r>
        <w:rPr>
          <w:rFonts w:ascii="Times New Roman" w:hAnsi="Times New Roman"/>
          <w:sz w:val="24"/>
          <w:szCs w:val="24"/>
        </w:rPr>
        <w:t>Високошколска установа треба да пружи опис како подржава каријерни развој студената у дуалном моделу студија тако што:</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прати задовољство и мотивацију студената и послодаваца током програма учења кроз рад,</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оснажује и подржава студенте да планирају и постављају циљеве каријерног развоја,</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сарађује са средњим школама ради успостављања континуитета пружања услуга каријерног вођења и саветовања,</w:t>
      </w:r>
    </w:p>
    <w:p w:rsidR="00EF27E5" w:rsidRDefault="00EF27E5">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помаже студентима код избора послодавца када се учење кроз рад реализује код више послодаваца ради усмеравања студената према индивидуалним потребама и у њиховом најбољем интересу.</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Место и временски распоред реализације учења кроз рад</w:t>
      </w:r>
    </w:p>
    <w:p w:rsidR="00EF27E5" w:rsidRDefault="00EF27E5">
      <w:pPr>
        <w:pStyle w:val="ListParagraph"/>
        <w:numPr>
          <w:ilvl w:val="0"/>
          <w:numId w:val="4"/>
        </w:numPr>
        <w:spacing w:before="0" w:after="0"/>
        <w:rPr>
          <w:rFonts w:ascii="Times New Roman" w:hAnsi="Times New Roman" w:cs="Times New Roman"/>
          <w:b/>
          <w:sz w:val="24"/>
          <w:szCs w:val="24"/>
        </w:rPr>
      </w:pPr>
      <w:r>
        <w:rPr>
          <w:rFonts w:ascii="Times New Roman" w:hAnsi="Times New Roman" w:cs="Times New Roman"/>
          <w:sz w:val="24"/>
          <w:szCs w:val="24"/>
        </w:rPr>
        <w:t>Даје се графички приказ (гантограм) времена које студент проведе на учењу уз рад и на настави на високошколској установи;</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Максималан број студената које високошколска установа може упутити код послодавца на учење кроз рад у оквиру датог студијског програма</w:t>
      </w:r>
    </w:p>
    <w:p w:rsidR="00EF27E5" w:rsidRDefault="00EF27E5">
      <w:pPr>
        <w:pStyle w:val="Heading1"/>
        <w:numPr>
          <w:ilvl w:val="0"/>
          <w:numId w:val="1"/>
        </w:numPr>
        <w:spacing w:after="120"/>
        <w:ind w:left="357" w:hanging="357"/>
        <w:jc w:val="both"/>
        <w:rPr>
          <w:rFonts w:ascii="Times New Roman" w:hAnsi="Times New Roman"/>
          <w:sz w:val="24"/>
          <w:szCs w:val="24"/>
        </w:rPr>
      </w:pPr>
      <w:r>
        <w:rPr>
          <w:rFonts w:ascii="Times New Roman" w:hAnsi="Times New Roman"/>
          <w:sz w:val="24"/>
          <w:szCs w:val="24"/>
        </w:rPr>
        <w:t xml:space="preserve">Прилози уз елаборат: </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Прилог 1.</w:t>
      </w:r>
      <w:r>
        <w:rPr>
          <w:rFonts w:ascii="Times New Roman" w:hAnsi="Times New Roman" w:cs="Times New Roman"/>
          <w:sz w:val="24"/>
          <w:szCs w:val="24"/>
        </w:rPr>
        <w:t xml:space="preserve"> Одлука надлежног органа самосталне високошколске установе о усвајању елабората; </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Прилог 2.</w:t>
      </w:r>
      <w:r>
        <w:rPr>
          <w:rFonts w:ascii="Times New Roman" w:hAnsi="Times New Roman" w:cs="Times New Roman"/>
          <w:sz w:val="24"/>
          <w:szCs w:val="24"/>
        </w:rPr>
        <w:t xml:space="preserve"> ВШУ као прилог тачке 3. Елабората доставља захтев привредне коморе или установе уметности и културе) за извођењем датог студијског програма струковних студија. </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Прилог 3.</w:t>
      </w:r>
      <w:r>
        <w:rPr>
          <w:rFonts w:ascii="Times New Roman" w:hAnsi="Times New Roman" w:cs="Times New Roman"/>
          <w:sz w:val="24"/>
          <w:szCs w:val="24"/>
        </w:rPr>
        <w:t xml:space="preserve"> Одлука о акредитацији сличног студијског програма по класичном моделу студија који је основ студијског програма по дуалном моделу студија; </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 xml:space="preserve">Прилог 4. </w:t>
      </w:r>
      <w:r>
        <w:rPr>
          <w:rFonts w:ascii="Times New Roman" w:hAnsi="Times New Roman" w:cs="Times New Roman"/>
          <w:sz w:val="24"/>
          <w:szCs w:val="24"/>
        </w:rPr>
        <w:t>Дефинисати реализацију дуалног модела студија као самосталног студијског програма или као један од модула у оквиру студијског програма. Поред елемената прописаним законом који уређује високо образовање и стандардима за акредитацију, документ садржи опис и обим учења кроз рад исказан у сатима и ЕСПБ;</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 xml:space="preserve">Прилог 5. </w:t>
      </w:r>
      <w:r>
        <w:rPr>
          <w:rFonts w:ascii="Times New Roman" w:hAnsi="Times New Roman" w:cs="Times New Roman"/>
          <w:sz w:val="24"/>
          <w:szCs w:val="24"/>
        </w:rPr>
        <w:t>Распоред часова активне наставе и учења кроз рад по недељама, за сваку школску годину студија;</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Прилог 6.</w:t>
      </w:r>
      <w:r>
        <w:rPr>
          <w:rFonts w:ascii="Times New Roman" w:hAnsi="Times New Roman" w:cs="Times New Roman"/>
          <w:sz w:val="24"/>
          <w:szCs w:val="24"/>
        </w:rPr>
        <w:t xml:space="preserve"> Модел посебног конкурса за упис студената </w:t>
      </w:r>
      <w:r>
        <w:rPr>
          <w:rFonts w:ascii="Times New Roman" w:hAnsi="Times New Roman"/>
          <w:color w:val="000000"/>
          <w:sz w:val="24"/>
          <w:szCs w:val="24"/>
        </w:rPr>
        <w:t xml:space="preserve">који уписују програме по дуалном моделу студија </w:t>
      </w:r>
      <w:r>
        <w:rPr>
          <w:rFonts w:ascii="Times New Roman" w:hAnsi="Times New Roman" w:cs="Times New Roman"/>
          <w:sz w:val="24"/>
          <w:szCs w:val="24"/>
        </w:rPr>
        <w:t xml:space="preserve">у складу са законом којим се уређује високо образовање. Посебним конкурсом се утврђују специфични услови за упис студената на студијске програме по дуалном моделу, као и услови преласка студената са дуалног на друге моделе студија, односно преласка на дуални модел студија; </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Прилог 7.</w:t>
      </w:r>
      <w:r>
        <w:rPr>
          <w:rFonts w:ascii="Times New Roman" w:hAnsi="Times New Roman" w:cs="Times New Roman"/>
          <w:sz w:val="24"/>
          <w:szCs w:val="24"/>
        </w:rPr>
        <w:t xml:space="preserve"> Модел Конкурса за пријем студената за учење уз рад код послодавца;</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Прилог 8.</w:t>
      </w:r>
      <w:r>
        <w:rPr>
          <w:rFonts w:ascii="Times New Roman" w:hAnsi="Times New Roman" w:cs="Times New Roman"/>
          <w:sz w:val="24"/>
          <w:szCs w:val="24"/>
        </w:rPr>
        <w:t xml:space="preserve"> Доказ о формирању центра за каријерно вођење и саветовање који пружа подршку, подстиче и прати каријерни развој студената, у складу са општим актом високошколске установе и стандардима каријерног вођења и саветовања донетим на основу закона којим се уређује национални оквир квалификација;</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Прилог 9.</w:t>
      </w:r>
      <w:r>
        <w:rPr>
          <w:rFonts w:ascii="Times New Roman" w:hAnsi="Times New Roman" w:cs="Times New Roman"/>
          <w:sz w:val="24"/>
          <w:szCs w:val="24"/>
        </w:rPr>
        <w:t xml:space="preserve"> Интернет линк ка страници која садржи информације о студијском програму.</w:t>
      </w:r>
    </w:p>
    <w:p w:rsidR="00EF27E5" w:rsidRDefault="00EF27E5">
      <w:pPr>
        <w:pStyle w:val="ListParagraph"/>
        <w:spacing w:before="0" w:after="0"/>
        <w:ind w:left="0"/>
        <w:rPr>
          <w:rFonts w:ascii="Times New Roman" w:hAnsi="Times New Roman" w:cs="Times New Roman"/>
          <w:sz w:val="24"/>
          <w:szCs w:val="24"/>
        </w:rPr>
      </w:pPr>
    </w:p>
    <w:p w:rsidR="00EF27E5" w:rsidRDefault="00EF27E5">
      <w:pPr>
        <w:keepNext/>
        <w:widowControl w:val="0"/>
        <w:shd w:val="clear" w:color="auto" w:fill="FFFFFF"/>
        <w:spacing w:after="0"/>
        <w:ind w:left="1080"/>
        <w:jc w:val="both"/>
        <w:rPr>
          <w:rFonts w:ascii="Times New Roman" w:hAnsi="Times New Roman"/>
          <w:color w:val="000000"/>
          <w:sz w:val="24"/>
          <w:szCs w:val="24"/>
        </w:rPr>
      </w:pPr>
      <w:r>
        <w:rPr>
          <w:rFonts w:ascii="Times New Roman" w:hAnsi="Times New Roman"/>
          <w:color w:val="000000"/>
          <w:sz w:val="24"/>
          <w:szCs w:val="24"/>
        </w:rPr>
        <w:t>Докази да послодавац испуњава услове за извођења учења кроз рад су:</w:t>
      </w:r>
    </w:p>
    <w:p w:rsidR="00EF27E5" w:rsidRDefault="00EF27E5">
      <w:pPr>
        <w:pStyle w:val="ListParagraph"/>
        <w:spacing w:before="0" w:after="0"/>
        <w:ind w:left="360"/>
        <w:rPr>
          <w:rFonts w:ascii="Times New Roman" w:hAnsi="Times New Roman" w:cs="Times New Roman"/>
          <w:color w:val="000000"/>
          <w:sz w:val="24"/>
          <w:szCs w:val="24"/>
        </w:rPr>
      </w:pPr>
      <w:r>
        <w:rPr>
          <w:rFonts w:ascii="Times New Roman" w:hAnsi="Times New Roman"/>
          <w:b/>
          <w:sz w:val="24"/>
          <w:szCs w:val="24"/>
        </w:rPr>
        <w:t>Прилог 10.</w:t>
      </w:r>
      <w:r>
        <w:rPr>
          <w:rFonts w:ascii="Times New Roman" w:hAnsi="Times New Roman" w:cs="Times New Roman"/>
          <w:sz w:val="24"/>
          <w:szCs w:val="24"/>
        </w:rPr>
        <w:t xml:space="preserve"> Потврда о </w:t>
      </w:r>
      <w:r>
        <w:rPr>
          <w:rFonts w:ascii="Times New Roman" w:hAnsi="Times New Roman" w:cs="Times New Roman"/>
          <w:color w:val="000000"/>
          <w:sz w:val="24"/>
          <w:szCs w:val="24"/>
        </w:rPr>
        <w:t>обављању делатности која омогућава реализацију садржаја из студијског програма;</w:t>
      </w:r>
    </w:p>
    <w:p w:rsidR="00EF27E5" w:rsidRDefault="00EF27E5">
      <w:pPr>
        <w:pStyle w:val="ListParagraph"/>
        <w:spacing w:before="0" w:after="0"/>
        <w:ind w:left="360"/>
        <w:rPr>
          <w:rFonts w:ascii="Times New Roman" w:hAnsi="Times New Roman" w:cs="Times New Roman"/>
          <w:color w:val="000000"/>
          <w:sz w:val="24"/>
          <w:szCs w:val="24"/>
        </w:rPr>
      </w:pPr>
      <w:r>
        <w:rPr>
          <w:rFonts w:ascii="Times New Roman" w:hAnsi="Times New Roman"/>
          <w:b/>
          <w:sz w:val="24"/>
          <w:szCs w:val="24"/>
        </w:rPr>
        <w:t>Прилог 11.</w:t>
      </w:r>
      <w:r>
        <w:rPr>
          <w:rFonts w:ascii="Times New Roman" w:hAnsi="Times New Roman" w:cs="Times New Roman"/>
          <w:sz w:val="24"/>
          <w:szCs w:val="24"/>
        </w:rPr>
        <w:t xml:space="preserve"> Списак са </w:t>
      </w:r>
      <w:r>
        <w:rPr>
          <w:rFonts w:ascii="Times New Roman" w:hAnsi="Times New Roman" w:cs="Times New Roman"/>
          <w:color w:val="000000"/>
          <w:sz w:val="24"/>
          <w:szCs w:val="24"/>
        </w:rPr>
        <w:t>одговарајућим бројем ментора код послодавца који имају најмање врсту и ниво високог образовања који одговара врсти и нивоу који студент стиче према студијском програму и три године радног искуства у струци;</w:t>
      </w:r>
    </w:p>
    <w:p w:rsidR="00EF27E5" w:rsidRDefault="00EF27E5">
      <w:pPr>
        <w:pStyle w:val="ListParagraph"/>
        <w:spacing w:before="0" w:after="0"/>
        <w:ind w:left="360"/>
        <w:rPr>
          <w:rFonts w:ascii="Times New Roman" w:hAnsi="Times New Roman" w:cs="Times New Roman"/>
          <w:color w:val="000000"/>
          <w:sz w:val="24"/>
          <w:szCs w:val="24"/>
        </w:rPr>
      </w:pPr>
      <w:r>
        <w:rPr>
          <w:rFonts w:ascii="Times New Roman" w:hAnsi="Times New Roman"/>
          <w:b/>
          <w:sz w:val="24"/>
          <w:szCs w:val="24"/>
        </w:rPr>
        <w:t>Прилог 12.</w:t>
      </w:r>
      <w:r>
        <w:rPr>
          <w:rFonts w:ascii="Times New Roman" w:hAnsi="Times New Roman" w:cs="Times New Roman"/>
          <w:sz w:val="24"/>
          <w:szCs w:val="24"/>
        </w:rPr>
        <w:t xml:space="preserve"> Потврда о </w:t>
      </w:r>
      <w:r>
        <w:rPr>
          <w:rFonts w:ascii="Times New Roman" w:hAnsi="Times New Roman" w:cs="Times New Roman"/>
          <w:color w:val="000000"/>
          <w:sz w:val="24"/>
          <w:szCs w:val="24"/>
        </w:rPr>
        <w:t>располагању одговарајућим простором, опремом и средствима за рад у складу са студијским програмом и планом реализације учења кроз рад;</w:t>
      </w:r>
    </w:p>
    <w:p w:rsidR="00EF27E5" w:rsidRDefault="00EF27E5">
      <w:pPr>
        <w:pStyle w:val="ListParagraph"/>
        <w:spacing w:before="0" w:after="0"/>
        <w:ind w:left="360"/>
        <w:rPr>
          <w:rFonts w:ascii="Times New Roman" w:hAnsi="Times New Roman" w:cs="Times New Roman"/>
          <w:color w:val="000000"/>
          <w:sz w:val="24"/>
          <w:szCs w:val="24"/>
        </w:rPr>
      </w:pPr>
      <w:r>
        <w:rPr>
          <w:rFonts w:ascii="Times New Roman" w:hAnsi="Times New Roman"/>
          <w:b/>
          <w:sz w:val="24"/>
          <w:szCs w:val="24"/>
        </w:rPr>
        <w:t>Прилог 13.</w:t>
      </w:r>
      <w:r>
        <w:rPr>
          <w:rFonts w:ascii="Times New Roman" w:hAnsi="Times New Roman" w:cs="Times New Roman"/>
          <w:sz w:val="24"/>
          <w:szCs w:val="24"/>
        </w:rPr>
        <w:t xml:space="preserve"> Доказ о </w:t>
      </w:r>
      <w:r>
        <w:rPr>
          <w:rFonts w:ascii="Times New Roman" w:hAnsi="Times New Roman" w:cs="Times New Roman"/>
          <w:color w:val="000000"/>
          <w:sz w:val="24"/>
          <w:szCs w:val="24"/>
        </w:rPr>
        <w:t>обезбеђивању примене мера безбедности и здравља на раду у складу са законом;</w:t>
      </w:r>
    </w:p>
    <w:p w:rsidR="00EF27E5" w:rsidRDefault="00EF27E5">
      <w:pPr>
        <w:pStyle w:val="ListParagraph"/>
        <w:spacing w:before="0" w:after="0"/>
        <w:ind w:left="360"/>
        <w:rPr>
          <w:rFonts w:ascii="Times New Roman" w:hAnsi="Times New Roman" w:cs="Times New Roman"/>
          <w:color w:val="000000"/>
          <w:sz w:val="24"/>
          <w:szCs w:val="24"/>
        </w:rPr>
      </w:pPr>
      <w:r>
        <w:rPr>
          <w:rFonts w:ascii="Times New Roman" w:hAnsi="Times New Roman"/>
          <w:b/>
          <w:sz w:val="24"/>
          <w:szCs w:val="24"/>
        </w:rPr>
        <w:t>Прилог 14.</w:t>
      </w:r>
      <w:r>
        <w:rPr>
          <w:rFonts w:ascii="Times New Roman" w:hAnsi="Times New Roman" w:cs="Times New Roman"/>
          <w:sz w:val="24"/>
          <w:szCs w:val="24"/>
        </w:rPr>
        <w:t xml:space="preserve"> Потврда </w:t>
      </w:r>
      <w:r>
        <w:rPr>
          <w:rFonts w:ascii="Times New Roman" w:hAnsi="Times New Roman" w:cs="Times New Roman"/>
          <w:color w:val="000000"/>
          <w:sz w:val="24"/>
          <w:szCs w:val="24"/>
        </w:rPr>
        <w:t>да над послодавцем није отворен стечајни поступак или да није покренут поступак ликвидације;</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Прилог 15.</w:t>
      </w:r>
      <w:r>
        <w:rPr>
          <w:rFonts w:ascii="Times New Roman" w:hAnsi="Times New Roman" w:cs="Times New Roman"/>
          <w:sz w:val="24"/>
          <w:szCs w:val="24"/>
        </w:rPr>
        <w:t xml:space="preserve"> Извод из казнене евиденције да </w:t>
      </w:r>
      <w:r>
        <w:rPr>
          <w:rFonts w:ascii="Times New Roman" w:hAnsi="Times New Roman" w:cs="Times New Roman"/>
          <w:color w:val="000000"/>
          <w:sz w:val="24"/>
          <w:szCs w:val="24"/>
        </w:rPr>
        <w:t xml:space="preserve">ментор код послодавца </w:t>
      </w:r>
      <w:r>
        <w:rPr>
          <w:rFonts w:ascii="Times New Roman" w:hAnsi="Times New Roman" w:cs="Times New Roman"/>
          <w:sz w:val="24"/>
          <w:szCs w:val="24"/>
        </w:rPr>
        <w:t xml:space="preserve">није правноснажно осуђиван за дела наведена у тачки 4. Елабората као и доказ да се против њега не води поступак за наведена дела. </w:t>
      </w:r>
    </w:p>
    <w:p w:rsidR="00EF27E5" w:rsidRDefault="00EF27E5">
      <w:pPr>
        <w:pStyle w:val="ListParagraph"/>
        <w:spacing w:before="0" w:after="0"/>
        <w:ind w:left="360"/>
        <w:rPr>
          <w:rFonts w:ascii="Times New Roman" w:hAnsi="Times New Roman" w:cs="Times New Roman"/>
          <w:sz w:val="24"/>
          <w:szCs w:val="24"/>
        </w:rPr>
      </w:pPr>
      <w:r>
        <w:rPr>
          <w:rFonts w:ascii="Times New Roman" w:hAnsi="Times New Roman"/>
          <w:b/>
          <w:sz w:val="24"/>
          <w:szCs w:val="24"/>
        </w:rPr>
        <w:t>Прилог 16.</w:t>
      </w:r>
      <w:r>
        <w:rPr>
          <w:rFonts w:ascii="Times New Roman" w:hAnsi="Times New Roman" w:cs="Times New Roman"/>
          <w:sz w:val="24"/>
          <w:szCs w:val="24"/>
        </w:rPr>
        <w:t xml:space="preserve"> Потврда </w:t>
      </w:r>
      <w:r>
        <w:rPr>
          <w:rFonts w:ascii="Times New Roman" w:hAnsi="Times New Roman" w:cs="Times New Roman"/>
          <w:color w:val="000000"/>
          <w:sz w:val="24"/>
          <w:szCs w:val="24"/>
        </w:rPr>
        <w:t>да одговорно лице код послодавца није правноснажно осуђивано или да се против њега не води кривични поступак.</w:t>
      </w:r>
      <w:bookmarkEnd w:id="11"/>
    </w:p>
    <w:p w:rsidR="00EF27E5" w:rsidRDefault="00EF27E5">
      <w:pPr>
        <w:pStyle w:val="ListParagraph"/>
        <w:spacing w:before="0" w:after="0"/>
        <w:ind w:left="0"/>
        <w:rPr>
          <w:rFonts w:ascii="Times New Roman" w:hAnsi="Times New Roman" w:cs="Times New Roman"/>
          <w:color w:val="000000"/>
          <w:sz w:val="24"/>
          <w:szCs w:val="24"/>
        </w:rPr>
      </w:pPr>
    </w:p>
    <w:p w:rsidR="00EF27E5" w:rsidRDefault="00EF27E5">
      <w:pPr>
        <w:rPr>
          <w:rFonts w:ascii="Times New Roman" w:hAnsi="Times New Roman"/>
          <w:sz w:val="24"/>
          <w:szCs w:val="24"/>
        </w:rPr>
      </w:pPr>
      <w:r>
        <w:rPr>
          <w:rFonts w:ascii="Times New Roman" w:hAnsi="Times New Roman"/>
          <w:b/>
          <w:bCs/>
        </w:rPr>
        <w:t xml:space="preserve">Напомена: </w:t>
      </w:r>
      <w:r>
        <w:rPr>
          <w:rFonts w:ascii="Times New Roman" w:hAnsi="Times New Roman"/>
          <w:sz w:val="24"/>
          <w:szCs w:val="24"/>
        </w:rPr>
        <w:t>У елаборату се у тачки 4. и 5. наводе само општи услови. Сви детаљи су садржани у уговорима.</w:t>
      </w:r>
    </w:p>
    <w:p w:rsidR="00EF27E5" w:rsidRDefault="00EF27E5">
      <w:pPr>
        <w:rPr>
          <w:rFonts w:ascii="Times New Roman" w:hAnsi="Times New Roman"/>
          <w:sz w:val="24"/>
          <w:szCs w:val="24"/>
        </w:rPr>
      </w:pPr>
    </w:p>
    <w:p w:rsidR="00EF27E5" w:rsidRDefault="00EF27E5">
      <w:pPr>
        <w:rPr>
          <w:rFonts w:ascii="Times New Roman" w:hAnsi="Times New Roman"/>
          <w:sz w:val="24"/>
          <w:szCs w:val="24"/>
        </w:rPr>
      </w:pPr>
    </w:p>
    <w:p w:rsidR="00EF27E5" w:rsidRDefault="00EF27E5">
      <w:pPr>
        <w:rPr>
          <w:rFonts w:ascii="Times New Roman" w:hAnsi="Times New Roman"/>
          <w:sz w:val="24"/>
          <w:szCs w:val="24"/>
        </w:rPr>
      </w:pPr>
    </w:p>
    <w:p w:rsidR="00EF27E5" w:rsidRDefault="00EF27E5">
      <w:pPr>
        <w:rPr>
          <w:rFonts w:ascii="Times New Roman" w:hAnsi="Times New Roman"/>
          <w:sz w:val="24"/>
          <w:szCs w:val="24"/>
        </w:rPr>
      </w:pPr>
    </w:p>
    <w:p w:rsidR="00EF27E5" w:rsidRDefault="00EF27E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Потпис овлашћеног лица високошколске установе</w:t>
      </w:r>
    </w:p>
    <w:sectPr w:rsidR="00EF27E5" w:rsidSect="00F87D4A">
      <w:footerReference w:type="default" r:id="rId7"/>
      <w:pgSz w:w="11906" w:h="16838"/>
      <w:pgMar w:top="1134" w:right="1134" w:bottom="1077" w:left="1134" w:header="0" w:footer="68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7E5" w:rsidRDefault="00EF27E5" w:rsidP="00F87D4A">
      <w:pPr>
        <w:spacing w:before="0" w:after="0"/>
      </w:pPr>
      <w:r>
        <w:separator/>
      </w:r>
    </w:p>
  </w:endnote>
  <w:endnote w:type="continuationSeparator" w:id="0">
    <w:p w:rsidR="00EF27E5" w:rsidRDefault="00EF27E5" w:rsidP="00F87D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E5" w:rsidRDefault="00EF27E5">
    <w:pPr>
      <w:pStyle w:val="Foot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p w:rsidR="00EF27E5" w:rsidRDefault="00EF2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7E5" w:rsidRDefault="00EF27E5" w:rsidP="00F87D4A">
      <w:pPr>
        <w:spacing w:before="0" w:after="0"/>
      </w:pPr>
      <w:r>
        <w:separator/>
      </w:r>
    </w:p>
  </w:footnote>
  <w:footnote w:type="continuationSeparator" w:id="0">
    <w:p w:rsidR="00EF27E5" w:rsidRDefault="00EF27E5" w:rsidP="00F87D4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C1D69"/>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nsid w:val="639B0898"/>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6CC74D4E"/>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767C54C9"/>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76963051"/>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D4A"/>
    <w:rsid w:val="00233A98"/>
    <w:rsid w:val="003469CF"/>
    <w:rsid w:val="00584A29"/>
    <w:rsid w:val="00801E10"/>
    <w:rsid w:val="00874D5F"/>
    <w:rsid w:val="00A85312"/>
    <w:rsid w:val="00BE2D0D"/>
    <w:rsid w:val="00EF27E5"/>
    <w:rsid w:val="00F875EB"/>
    <w:rsid w:val="00F87D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EB"/>
    <w:pPr>
      <w:suppressAutoHyphens/>
      <w:spacing w:before="60" w:after="60"/>
    </w:pPr>
  </w:style>
  <w:style w:type="paragraph" w:styleId="Heading1">
    <w:name w:val="heading 1"/>
    <w:basedOn w:val="Normal"/>
    <w:next w:val="Normal"/>
    <w:link w:val="Heading1Char"/>
    <w:uiPriority w:val="99"/>
    <w:qFormat/>
    <w:rsid w:val="00F875EB"/>
    <w:pPr>
      <w:keepNext/>
      <w:widowControl w:val="0"/>
      <w:spacing w:before="240"/>
      <w:outlineLvl w:val="0"/>
    </w:pPr>
    <w:rPr>
      <w:rFonts w:ascii="Cambria" w:eastAsia="Times New Roman" w:hAnsi="Cambria"/>
      <w:b/>
      <w:bCs/>
      <w:kern w:val="2"/>
      <w:sz w:val="32"/>
      <w:szCs w:val="32"/>
    </w:rPr>
  </w:style>
  <w:style w:type="paragraph" w:styleId="Heading2">
    <w:name w:val="heading 2"/>
    <w:basedOn w:val="Normal"/>
    <w:next w:val="Normal"/>
    <w:link w:val="Heading2Char"/>
    <w:uiPriority w:val="99"/>
    <w:qFormat/>
    <w:rsid w:val="00F875EB"/>
    <w:pPr>
      <w:keepNext/>
      <w:widowControl w:val="0"/>
      <w:spacing w:before="24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75EB"/>
    <w:rPr>
      <w:rFonts w:ascii="Cambria" w:hAnsi="Cambria" w:cs="Times New Roman"/>
      <w:b/>
      <w:kern w:val="2"/>
      <w:sz w:val="32"/>
    </w:rPr>
  </w:style>
  <w:style w:type="character" w:customStyle="1" w:styleId="Heading2Char">
    <w:name w:val="Heading 2 Char"/>
    <w:basedOn w:val="DefaultParagraphFont"/>
    <w:link w:val="Heading2"/>
    <w:uiPriority w:val="99"/>
    <w:locked/>
    <w:rsid w:val="00F875EB"/>
    <w:rPr>
      <w:rFonts w:ascii="Cambria" w:hAnsi="Cambria" w:cs="Times New Roman"/>
      <w:b/>
      <w:i/>
      <w:sz w:val="28"/>
    </w:rPr>
  </w:style>
  <w:style w:type="character" w:customStyle="1" w:styleId="BalloonTextChar">
    <w:name w:val="Balloon Text Char"/>
    <w:link w:val="BalloonText"/>
    <w:uiPriority w:val="99"/>
    <w:semiHidden/>
    <w:locked/>
    <w:rsid w:val="00F875EB"/>
    <w:rPr>
      <w:rFonts w:ascii="Segoe UI" w:hAnsi="Segoe UI" w:cs="Times New Roman"/>
      <w:sz w:val="18"/>
      <w:lang w:eastAsia="en-US"/>
    </w:rPr>
  </w:style>
  <w:style w:type="character" w:customStyle="1" w:styleId="CommentTextChar">
    <w:name w:val="Comment Text Char"/>
    <w:link w:val="CommentText"/>
    <w:uiPriority w:val="99"/>
    <w:semiHidden/>
    <w:locked/>
    <w:rsid w:val="00F875EB"/>
    <w:rPr>
      <w:rFonts w:cs="Times New Roman"/>
    </w:rPr>
  </w:style>
  <w:style w:type="character" w:customStyle="1" w:styleId="CommentSubjectChar">
    <w:name w:val="Comment Subject Char"/>
    <w:link w:val="CommentSubject"/>
    <w:uiPriority w:val="99"/>
    <w:semiHidden/>
    <w:locked/>
    <w:rsid w:val="00F875EB"/>
    <w:rPr>
      <w:rFonts w:cs="Times New Roman"/>
      <w:b/>
      <w:lang w:eastAsia="en-US"/>
    </w:rPr>
  </w:style>
  <w:style w:type="character" w:customStyle="1" w:styleId="FooterChar">
    <w:name w:val="Footer Char"/>
    <w:link w:val="Footer"/>
    <w:uiPriority w:val="99"/>
    <w:locked/>
    <w:rsid w:val="00F875EB"/>
    <w:rPr>
      <w:rFonts w:cs="Times New Roman"/>
      <w:sz w:val="22"/>
    </w:rPr>
  </w:style>
  <w:style w:type="character" w:customStyle="1" w:styleId="HeaderChar">
    <w:name w:val="Header Char"/>
    <w:link w:val="Header"/>
    <w:uiPriority w:val="99"/>
    <w:locked/>
    <w:rsid w:val="00F875EB"/>
    <w:rPr>
      <w:rFonts w:cs="Times New Roman"/>
      <w:sz w:val="22"/>
    </w:rPr>
  </w:style>
  <w:style w:type="character" w:customStyle="1" w:styleId="HTMLPreformattedChar">
    <w:name w:val="HTML Preformatted Char"/>
    <w:link w:val="HTMLPreformatted"/>
    <w:uiPriority w:val="99"/>
    <w:semiHidden/>
    <w:locked/>
    <w:rsid w:val="00F875EB"/>
    <w:rPr>
      <w:rFonts w:ascii="Courier New" w:hAnsi="Courier New" w:cs="Times New Roman"/>
    </w:rPr>
  </w:style>
  <w:style w:type="character" w:styleId="CommentReference">
    <w:name w:val="annotation reference"/>
    <w:basedOn w:val="DefaultParagraphFont"/>
    <w:uiPriority w:val="99"/>
    <w:semiHidden/>
    <w:rsid w:val="00F875EB"/>
    <w:rPr>
      <w:rFonts w:cs="Times New Roman"/>
      <w:sz w:val="16"/>
      <w:szCs w:val="16"/>
    </w:rPr>
  </w:style>
  <w:style w:type="character" w:styleId="FollowedHyperlink">
    <w:name w:val="FollowedHyperlink"/>
    <w:basedOn w:val="DefaultParagraphFont"/>
    <w:uiPriority w:val="99"/>
    <w:semiHidden/>
    <w:rsid w:val="00F875EB"/>
    <w:rPr>
      <w:rFonts w:cs="Times New Roman"/>
      <w:color w:val="800080"/>
      <w:u w:val="single"/>
    </w:rPr>
  </w:style>
  <w:style w:type="character" w:styleId="Hyperlink">
    <w:name w:val="Hyperlink"/>
    <w:basedOn w:val="DefaultParagraphFont"/>
    <w:uiPriority w:val="99"/>
    <w:rsid w:val="00F875EB"/>
    <w:rPr>
      <w:rFonts w:cs="Times New Roman"/>
      <w:color w:val="0000FF"/>
      <w:u w:val="single"/>
    </w:rPr>
  </w:style>
  <w:style w:type="character" w:customStyle="1" w:styleId="t5">
    <w:name w:val="t5"/>
    <w:uiPriority w:val="99"/>
    <w:rsid w:val="00F875EB"/>
  </w:style>
  <w:style w:type="character" w:customStyle="1" w:styleId="t6">
    <w:name w:val="t6"/>
    <w:uiPriority w:val="99"/>
    <w:rsid w:val="00F875EB"/>
  </w:style>
  <w:style w:type="character" w:customStyle="1" w:styleId="t7">
    <w:name w:val="t7"/>
    <w:uiPriority w:val="99"/>
    <w:rsid w:val="00F875EB"/>
  </w:style>
  <w:style w:type="character" w:customStyle="1" w:styleId="t8">
    <w:name w:val="t8"/>
    <w:uiPriority w:val="99"/>
    <w:rsid w:val="00F875EB"/>
  </w:style>
  <w:style w:type="character" w:customStyle="1" w:styleId="t9">
    <w:name w:val="t9"/>
    <w:uiPriority w:val="99"/>
    <w:rsid w:val="00F875EB"/>
  </w:style>
  <w:style w:type="character" w:customStyle="1" w:styleId="t10">
    <w:name w:val="t10"/>
    <w:uiPriority w:val="99"/>
    <w:rsid w:val="00F875EB"/>
  </w:style>
  <w:style w:type="paragraph" w:customStyle="1" w:styleId="Heading">
    <w:name w:val="Heading"/>
    <w:basedOn w:val="Normal"/>
    <w:next w:val="BodyText"/>
    <w:uiPriority w:val="99"/>
    <w:rsid w:val="00F87D4A"/>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F87D4A"/>
    <w:pPr>
      <w:spacing w:before="0" w:after="140" w:line="276" w:lineRule="auto"/>
    </w:pPr>
  </w:style>
  <w:style w:type="character" w:customStyle="1" w:styleId="BodyTextChar">
    <w:name w:val="Body Text Char"/>
    <w:basedOn w:val="DefaultParagraphFont"/>
    <w:link w:val="BodyText"/>
    <w:uiPriority w:val="99"/>
    <w:semiHidden/>
    <w:locked/>
    <w:rPr>
      <w:rFonts w:cs="Times New Roman"/>
    </w:rPr>
  </w:style>
  <w:style w:type="paragraph" w:styleId="List">
    <w:name w:val="List"/>
    <w:basedOn w:val="BodyText"/>
    <w:uiPriority w:val="99"/>
    <w:rsid w:val="00F87D4A"/>
    <w:rPr>
      <w:rFonts w:cs="Lucida Sans"/>
    </w:rPr>
  </w:style>
  <w:style w:type="paragraph" w:styleId="Caption">
    <w:name w:val="caption"/>
    <w:basedOn w:val="Normal"/>
    <w:uiPriority w:val="99"/>
    <w:qFormat/>
    <w:rsid w:val="00F87D4A"/>
    <w:pPr>
      <w:suppressLineNumbers/>
      <w:spacing w:before="120" w:after="120"/>
    </w:pPr>
    <w:rPr>
      <w:rFonts w:cs="Lucida Sans"/>
      <w:i/>
      <w:iCs/>
      <w:sz w:val="24"/>
      <w:szCs w:val="24"/>
    </w:rPr>
  </w:style>
  <w:style w:type="paragraph" w:customStyle="1" w:styleId="Index">
    <w:name w:val="Index"/>
    <w:basedOn w:val="Normal"/>
    <w:uiPriority w:val="99"/>
    <w:rsid w:val="00F87D4A"/>
    <w:pPr>
      <w:suppressLineNumbers/>
    </w:pPr>
    <w:rPr>
      <w:rFonts w:cs="Lucida Sans"/>
    </w:rPr>
  </w:style>
  <w:style w:type="paragraph" w:styleId="BalloonText">
    <w:name w:val="Balloon Text"/>
    <w:basedOn w:val="Normal"/>
    <w:link w:val="BalloonTextChar1"/>
    <w:uiPriority w:val="99"/>
    <w:semiHidden/>
    <w:rsid w:val="00F875EB"/>
    <w:pPr>
      <w:spacing w:before="0" w:after="0"/>
    </w:pPr>
    <w:rPr>
      <w:rFonts w:ascii="Segoe UI" w:hAnsi="Segoe UI"/>
      <w:sz w:val="18"/>
      <w:szCs w:val="18"/>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styleId="CommentText">
    <w:name w:val="annotation text"/>
    <w:basedOn w:val="Normal"/>
    <w:link w:val="CommentTextChar1"/>
    <w:uiPriority w:val="99"/>
    <w:semiHidden/>
    <w:rsid w:val="00F875EB"/>
    <w:rPr>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semiHidden/>
    <w:rsid w:val="00F875EB"/>
    <w:rPr>
      <w:b/>
      <w:bCs/>
    </w:rPr>
  </w:style>
  <w:style w:type="character" w:customStyle="1" w:styleId="CommentSubjectChar1">
    <w:name w:val="Comment Subject Char1"/>
    <w:basedOn w:val="CommentTextChar"/>
    <w:link w:val="CommentSubject"/>
    <w:uiPriority w:val="99"/>
    <w:semiHidden/>
    <w:locked/>
    <w:rPr>
      <w:b/>
      <w:bCs/>
      <w:sz w:val="20"/>
      <w:szCs w:val="20"/>
    </w:rPr>
  </w:style>
  <w:style w:type="paragraph" w:customStyle="1" w:styleId="HeaderandFooter">
    <w:name w:val="Header and Footer"/>
    <w:basedOn w:val="Normal"/>
    <w:uiPriority w:val="99"/>
    <w:rsid w:val="00F87D4A"/>
  </w:style>
  <w:style w:type="paragraph" w:styleId="Footer">
    <w:name w:val="footer"/>
    <w:basedOn w:val="Normal"/>
    <w:link w:val="FooterChar1"/>
    <w:uiPriority w:val="99"/>
    <w:rsid w:val="00F875EB"/>
    <w:pPr>
      <w:tabs>
        <w:tab w:val="center" w:pos="4680"/>
        <w:tab w:val="right" w:pos="9360"/>
      </w:tabs>
    </w:pPr>
  </w:style>
  <w:style w:type="character" w:customStyle="1" w:styleId="FooterChar1">
    <w:name w:val="Footer Char1"/>
    <w:basedOn w:val="DefaultParagraphFont"/>
    <w:link w:val="Footer"/>
    <w:uiPriority w:val="99"/>
    <w:semiHidden/>
    <w:locked/>
    <w:rPr>
      <w:rFonts w:cs="Times New Roman"/>
    </w:rPr>
  </w:style>
  <w:style w:type="paragraph" w:styleId="Header">
    <w:name w:val="header"/>
    <w:basedOn w:val="Normal"/>
    <w:link w:val="HeaderChar1"/>
    <w:uiPriority w:val="99"/>
    <w:rsid w:val="00F875EB"/>
    <w:pPr>
      <w:tabs>
        <w:tab w:val="center" w:pos="4680"/>
        <w:tab w:val="right" w:pos="9360"/>
      </w:tabs>
    </w:pPr>
  </w:style>
  <w:style w:type="character" w:customStyle="1" w:styleId="HeaderChar1">
    <w:name w:val="Header Char1"/>
    <w:basedOn w:val="DefaultParagraphFont"/>
    <w:link w:val="Header"/>
    <w:uiPriority w:val="99"/>
    <w:semiHidden/>
    <w:locked/>
    <w:rPr>
      <w:rFonts w:cs="Times New Roman"/>
    </w:rPr>
  </w:style>
  <w:style w:type="paragraph" w:styleId="HTMLPreformatted">
    <w:name w:val="HTML Preformatted"/>
    <w:basedOn w:val="Normal"/>
    <w:link w:val="HTMLPreformattedChar1"/>
    <w:uiPriority w:val="99"/>
    <w:semiHidden/>
    <w:rsid w:val="00F8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sz w:val="20"/>
      <w:szCs w:val="20"/>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rPr>
  </w:style>
  <w:style w:type="paragraph" w:styleId="TOC1">
    <w:name w:val="toc 1"/>
    <w:basedOn w:val="Normal"/>
    <w:next w:val="Normal"/>
    <w:uiPriority w:val="99"/>
    <w:rsid w:val="00F875EB"/>
  </w:style>
  <w:style w:type="paragraph" w:styleId="TOC2">
    <w:name w:val="toc 2"/>
    <w:basedOn w:val="Normal"/>
    <w:next w:val="Normal"/>
    <w:uiPriority w:val="99"/>
    <w:rsid w:val="00F875EB"/>
    <w:pPr>
      <w:ind w:left="220"/>
    </w:pPr>
  </w:style>
  <w:style w:type="paragraph" w:customStyle="1" w:styleId="Style">
    <w:name w:val="Style"/>
    <w:basedOn w:val="Heading1"/>
    <w:next w:val="Normal"/>
    <w:uiPriority w:val="99"/>
    <w:rsid w:val="00F875EB"/>
    <w:pPr>
      <w:keepLines/>
      <w:widowControl/>
      <w:spacing w:before="480" w:after="0" w:line="276" w:lineRule="auto"/>
    </w:pPr>
    <w:rPr>
      <w:color w:val="365F91"/>
      <w:kern w:val="0"/>
      <w:sz w:val="28"/>
      <w:szCs w:val="28"/>
      <w:lang w:eastAsia="ja-JP"/>
    </w:rPr>
  </w:style>
  <w:style w:type="paragraph" w:customStyle="1" w:styleId="1tekst">
    <w:name w:val="_1tekst"/>
    <w:basedOn w:val="Normal"/>
    <w:uiPriority w:val="99"/>
    <w:rsid w:val="00F875EB"/>
    <w:pPr>
      <w:spacing w:beforeAutospacing="1" w:afterAutospacing="1"/>
    </w:pPr>
    <w:rPr>
      <w:rFonts w:ascii="Times New Roman" w:eastAsia="Times New Roman" w:hAnsi="Times New Roman"/>
      <w:sz w:val="24"/>
      <w:szCs w:val="24"/>
    </w:rPr>
  </w:style>
  <w:style w:type="paragraph" w:customStyle="1" w:styleId="7podnas">
    <w:name w:val="_7podnas"/>
    <w:basedOn w:val="Normal"/>
    <w:uiPriority w:val="99"/>
    <w:rsid w:val="00F875EB"/>
    <w:pPr>
      <w:spacing w:beforeAutospacing="1" w:afterAutospacing="1"/>
    </w:pPr>
    <w:rPr>
      <w:rFonts w:ascii="Times New Roman" w:eastAsia="Times New Roman" w:hAnsi="Times New Roman"/>
      <w:sz w:val="24"/>
      <w:szCs w:val="24"/>
    </w:rPr>
  </w:style>
  <w:style w:type="paragraph" w:customStyle="1" w:styleId="4clan">
    <w:name w:val="_4clan"/>
    <w:basedOn w:val="Normal"/>
    <w:uiPriority w:val="99"/>
    <w:rsid w:val="00F875EB"/>
    <w:pPr>
      <w:spacing w:beforeAutospacing="1" w:afterAutospacing="1"/>
    </w:pPr>
    <w:rPr>
      <w:rFonts w:ascii="Times New Roman" w:eastAsia="Times New Roman" w:hAnsi="Times New Roman"/>
      <w:sz w:val="24"/>
      <w:szCs w:val="24"/>
    </w:rPr>
  </w:style>
  <w:style w:type="paragraph" w:styleId="ListParagraph">
    <w:name w:val="List Paragraph"/>
    <w:basedOn w:val="Normal"/>
    <w:uiPriority w:val="99"/>
    <w:qFormat/>
    <w:rsid w:val="00F875EB"/>
    <w:pPr>
      <w:spacing w:before="120" w:after="120"/>
      <w:ind w:left="720"/>
      <w:contextualSpacing/>
      <w:jc w:val="both"/>
    </w:pPr>
    <w:rPr>
      <w:rFonts w:ascii="Arial" w:hAnsi="Arial" w:cs="Arial"/>
      <w:szCs w:val="20"/>
      <w:lang w:val="en-GB" w:eastAsia="en-GB"/>
    </w:rPr>
  </w:style>
  <w:style w:type="table" w:styleId="TableGrid">
    <w:name w:val="Table Grid"/>
    <w:basedOn w:val="TableNormal"/>
    <w:uiPriority w:val="99"/>
    <w:rsid w:val="00F875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6</Pages>
  <Words>1736</Words>
  <Characters>9899</Characters>
  <Application>Microsoft Office Outlook</Application>
  <DocSecurity>0</DocSecurity>
  <Lines>0</Lines>
  <Paragraphs>0</Paragraphs>
  <ScaleCrop>false</ScaleCrop>
  <Company>NAT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ВИСОКОШКОЛСКЕ УСТАНОВЕ (на српском)</dc:title>
  <dc:subject/>
  <dc:creator>mane</dc:creator>
  <cp:keywords/>
  <dc:description/>
  <cp:lastModifiedBy>MP</cp:lastModifiedBy>
  <cp:revision>7</cp:revision>
  <dcterms:created xsi:type="dcterms:W3CDTF">2020-12-28T11:57:00Z</dcterms:created>
  <dcterms:modified xsi:type="dcterms:W3CDTF">2020-12-30T11:35:00Z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1033-11.2.0.9747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